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56" w:rsidRPr="005B70EF" w:rsidRDefault="003326DA" w:rsidP="003326DA">
      <w:pPr>
        <w:jc w:val="center"/>
        <w:rPr>
          <w:rFonts w:ascii="Arial" w:hAnsi="Arial" w:cs="Arial"/>
          <w:b/>
          <w:sz w:val="24"/>
          <w:u w:val="single"/>
          <w:lang w:val="es-MX"/>
        </w:rPr>
      </w:pPr>
      <w:r w:rsidRPr="005B70EF">
        <w:rPr>
          <w:rFonts w:ascii="Arial" w:hAnsi="Arial" w:cs="Arial"/>
          <w:b/>
          <w:sz w:val="24"/>
          <w:u w:val="single"/>
          <w:lang w:val="es-MX"/>
        </w:rPr>
        <w:t>CLASES DE ARBITRAJE</w:t>
      </w:r>
    </w:p>
    <w:p w:rsidR="005B70EF" w:rsidRDefault="005B70EF" w:rsidP="003326DA">
      <w:pPr>
        <w:jc w:val="both"/>
        <w:rPr>
          <w:rFonts w:ascii="Arial" w:hAnsi="Arial" w:cs="Arial"/>
          <w:sz w:val="24"/>
          <w:lang w:val="es-MX"/>
        </w:rPr>
      </w:pPr>
    </w:p>
    <w:p w:rsidR="003326DA" w:rsidRPr="005B70EF" w:rsidRDefault="003326DA" w:rsidP="003326DA">
      <w:pPr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 xml:space="preserve">El arbitraje está sujeto a diversas variantes que surgen básicamente de la libre voluntad de las partes. Siendo que puede ser Arbitraje Ad-hoc o Arbitraje Institucional; Arbitraje de Derecho </w:t>
      </w:r>
      <w:r w:rsidR="00DA77A9" w:rsidRPr="005B70EF">
        <w:rPr>
          <w:rFonts w:ascii="Arial" w:hAnsi="Arial" w:cs="Arial"/>
          <w:sz w:val="24"/>
          <w:lang w:val="es-MX"/>
        </w:rPr>
        <w:t>Interno</w:t>
      </w:r>
      <w:r w:rsidRPr="005B70EF">
        <w:rPr>
          <w:rFonts w:ascii="Arial" w:hAnsi="Arial" w:cs="Arial"/>
          <w:sz w:val="24"/>
          <w:lang w:val="es-MX"/>
        </w:rPr>
        <w:t xml:space="preserve"> o Arbitraje de Derecho </w:t>
      </w:r>
      <w:r w:rsidR="00DA77A9" w:rsidRPr="005B70EF">
        <w:rPr>
          <w:rFonts w:ascii="Arial" w:hAnsi="Arial" w:cs="Arial"/>
          <w:sz w:val="24"/>
          <w:lang w:val="es-MX"/>
        </w:rPr>
        <w:t>Internacional</w:t>
      </w:r>
      <w:r w:rsidRPr="005B70EF">
        <w:rPr>
          <w:rFonts w:ascii="Arial" w:hAnsi="Arial" w:cs="Arial"/>
          <w:sz w:val="24"/>
          <w:lang w:val="es-MX"/>
        </w:rPr>
        <w:t>; Arbitraje Voluntario o Arbitraje Forzoso; Arbitraje de Derecho o Arbitraje de Equidad.</w:t>
      </w:r>
    </w:p>
    <w:p w:rsidR="00681A1E" w:rsidRPr="005B70EF" w:rsidRDefault="003326DA" w:rsidP="00681A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b/>
          <w:sz w:val="24"/>
          <w:lang w:val="es-MX"/>
        </w:rPr>
        <w:t>Arbitraje Ad- hoc o Arbitraje Institucional:</w:t>
      </w:r>
      <w:r w:rsidRPr="005B70EF">
        <w:rPr>
          <w:rFonts w:ascii="Arial" w:hAnsi="Arial" w:cs="Arial"/>
          <w:sz w:val="24"/>
          <w:lang w:val="es-MX"/>
        </w:rPr>
        <w:t xml:space="preserve"> Esta clasificación dependerá del modo de elección de los árbitros. </w:t>
      </w:r>
    </w:p>
    <w:p w:rsidR="008D103C" w:rsidRPr="005B70EF" w:rsidRDefault="008D103C" w:rsidP="008D103C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3326DA" w:rsidRPr="005B70EF" w:rsidRDefault="003326DA" w:rsidP="00681A1E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 xml:space="preserve">En primer lugar, el Arbitraje Ad-hoc se refiere a la no existencia de </w:t>
      </w:r>
      <w:r w:rsidR="00681A1E" w:rsidRPr="005B70EF">
        <w:rPr>
          <w:rFonts w:ascii="Arial" w:hAnsi="Arial" w:cs="Arial"/>
          <w:sz w:val="24"/>
          <w:lang w:val="es-MX"/>
        </w:rPr>
        <w:t>institución alguna que administre el sistema; por lo contrario, las partes deben ponerse de acuerdo sobre las bases o reglas sobre las que se desarrollará el arbitraje. Las partes cumplen una función e</w:t>
      </w:r>
      <w:r w:rsidR="00FF3E69" w:rsidRPr="005B70EF">
        <w:rPr>
          <w:rFonts w:ascii="Arial" w:hAnsi="Arial" w:cs="Arial"/>
          <w:sz w:val="24"/>
          <w:lang w:val="es-MX"/>
        </w:rPr>
        <w:t>sencial</w:t>
      </w:r>
      <w:r w:rsidR="00681A1E" w:rsidRPr="005B70EF">
        <w:rPr>
          <w:rFonts w:ascii="Arial" w:hAnsi="Arial" w:cs="Arial"/>
          <w:sz w:val="24"/>
          <w:lang w:val="es-MX"/>
        </w:rPr>
        <w:t xml:space="preserve"> debido a que se encargarán de todo lo necesario </w:t>
      </w:r>
      <w:r w:rsidR="00FF3E69" w:rsidRPr="005B70EF">
        <w:rPr>
          <w:rFonts w:ascii="Arial" w:hAnsi="Arial" w:cs="Arial"/>
          <w:sz w:val="24"/>
          <w:lang w:val="es-MX"/>
        </w:rPr>
        <w:t xml:space="preserve">desde el inicio del arbitraje hasta el final e incluso después de ello. Por ejemplo, deberán fijar los plazos, el modo de elección de los árbitros, el idioma, el lugar, sanciones, etc. </w:t>
      </w:r>
    </w:p>
    <w:p w:rsidR="008D103C" w:rsidRPr="005B70EF" w:rsidRDefault="008D103C" w:rsidP="00681A1E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8E79B6" w:rsidRPr="005B70EF" w:rsidRDefault="00FF3E69" w:rsidP="00681A1E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 xml:space="preserve">En cambio, mediante el Arbitraje Institucional ya se tiene un reglamento y las partes deciden someterse a dichas disposiciones. Es necesario precisar que la entidad elegida actuará como un intermediario, otorgando las facilidades </w:t>
      </w:r>
      <w:r w:rsidR="008E79B6" w:rsidRPr="005B70EF">
        <w:rPr>
          <w:rFonts w:ascii="Arial" w:hAnsi="Arial" w:cs="Arial"/>
          <w:sz w:val="24"/>
          <w:lang w:val="es-MX"/>
        </w:rPr>
        <w:t xml:space="preserve">tanto a los árbitros como a las partes. </w:t>
      </w:r>
    </w:p>
    <w:p w:rsidR="008D103C" w:rsidRPr="005B70EF" w:rsidRDefault="008D103C" w:rsidP="00681A1E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 xml:space="preserve">Tal es el caso que la entidad proporciona una lista de árbitros, una sede fija, un idioma, un lugar para las audiencias y los servicios de una secretaría arbitral. </w:t>
      </w:r>
    </w:p>
    <w:p w:rsidR="0078322D" w:rsidRPr="005B70EF" w:rsidRDefault="0078322D" w:rsidP="00681A1E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B03860" w:rsidRPr="005B70EF" w:rsidRDefault="00DA77A9" w:rsidP="00B038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b/>
          <w:sz w:val="24"/>
          <w:lang w:val="es-MX"/>
        </w:rPr>
        <w:t>Arbitraje de Derecho Interno</w:t>
      </w:r>
      <w:r w:rsidR="0078322D" w:rsidRPr="005B70EF">
        <w:rPr>
          <w:rFonts w:ascii="Arial" w:hAnsi="Arial" w:cs="Arial"/>
          <w:b/>
          <w:sz w:val="24"/>
          <w:lang w:val="es-MX"/>
        </w:rPr>
        <w:t xml:space="preserve"> o Arbitraje de Derecho </w:t>
      </w:r>
      <w:r w:rsidRPr="005B70EF">
        <w:rPr>
          <w:rFonts w:ascii="Arial" w:hAnsi="Arial" w:cs="Arial"/>
          <w:b/>
          <w:sz w:val="24"/>
          <w:lang w:val="es-MX"/>
        </w:rPr>
        <w:t>Internacional</w:t>
      </w:r>
      <w:r w:rsidR="0078322D" w:rsidRPr="005B70EF">
        <w:rPr>
          <w:rFonts w:ascii="Arial" w:hAnsi="Arial" w:cs="Arial"/>
          <w:b/>
          <w:sz w:val="24"/>
          <w:lang w:val="es-MX"/>
        </w:rPr>
        <w:t>:</w:t>
      </w:r>
      <w:r w:rsidR="0078322D" w:rsidRPr="005B70EF">
        <w:rPr>
          <w:rFonts w:ascii="Arial" w:hAnsi="Arial" w:cs="Arial"/>
          <w:sz w:val="24"/>
          <w:lang w:val="es-MX"/>
        </w:rPr>
        <w:t xml:space="preserve"> Esta calificación depende de </w:t>
      </w:r>
      <w:r w:rsidR="00B03860" w:rsidRPr="005B70EF">
        <w:rPr>
          <w:rFonts w:ascii="Arial" w:hAnsi="Arial" w:cs="Arial"/>
          <w:sz w:val="24"/>
          <w:lang w:val="es-MX"/>
        </w:rPr>
        <w:t>que los elementos q</w:t>
      </w:r>
      <w:r w:rsidR="00746FE4" w:rsidRPr="005B70EF">
        <w:rPr>
          <w:rFonts w:ascii="Arial" w:hAnsi="Arial" w:cs="Arial"/>
          <w:sz w:val="24"/>
          <w:lang w:val="es-MX"/>
        </w:rPr>
        <w:t xml:space="preserve">ue componen dicha controversia </w:t>
      </w:r>
      <w:r w:rsidR="00B03860" w:rsidRPr="005B70EF">
        <w:rPr>
          <w:rFonts w:ascii="Arial" w:hAnsi="Arial" w:cs="Arial"/>
          <w:sz w:val="24"/>
          <w:lang w:val="es-MX"/>
        </w:rPr>
        <w:t>se encuentren en el territorio de un solo Estado o de varios Estados.</w:t>
      </w:r>
    </w:p>
    <w:p w:rsidR="00B03860" w:rsidRPr="005B70EF" w:rsidRDefault="00B03860" w:rsidP="00B03860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B03860" w:rsidRPr="005B70EF" w:rsidRDefault="00B03860" w:rsidP="00B03860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 xml:space="preserve">El Arbitraje de Derecho Interno consiste en </w:t>
      </w:r>
      <w:r w:rsidR="00486A3D" w:rsidRPr="005B70EF">
        <w:rPr>
          <w:rFonts w:ascii="Arial" w:hAnsi="Arial" w:cs="Arial"/>
          <w:sz w:val="24"/>
          <w:lang w:val="es-MX"/>
        </w:rPr>
        <w:t xml:space="preserve">que tanto las partes como el conflicto surgió en un Estado </w:t>
      </w:r>
      <w:r w:rsidR="00912716" w:rsidRPr="005B70EF">
        <w:rPr>
          <w:rFonts w:ascii="Arial" w:hAnsi="Arial" w:cs="Arial"/>
          <w:sz w:val="24"/>
          <w:lang w:val="es-MX"/>
        </w:rPr>
        <w:t xml:space="preserve">y por lo cual se regirán por el ordenamiento jurídico de dicho Estado. </w:t>
      </w:r>
    </w:p>
    <w:p w:rsidR="00486A3D" w:rsidRPr="005B70EF" w:rsidRDefault="00486A3D" w:rsidP="00B03860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>En cambio, en e</w:t>
      </w:r>
      <w:r w:rsidR="00B03860" w:rsidRPr="005B70EF">
        <w:rPr>
          <w:rFonts w:ascii="Arial" w:hAnsi="Arial" w:cs="Arial"/>
          <w:sz w:val="24"/>
          <w:lang w:val="es-MX"/>
        </w:rPr>
        <w:t>l Arb</w:t>
      </w:r>
      <w:r w:rsidRPr="005B70EF">
        <w:rPr>
          <w:rFonts w:ascii="Arial" w:hAnsi="Arial" w:cs="Arial"/>
          <w:sz w:val="24"/>
          <w:lang w:val="es-MX"/>
        </w:rPr>
        <w:t xml:space="preserve">itraje de Derecho Internacional, </w:t>
      </w:r>
      <w:r w:rsidR="00912716" w:rsidRPr="005B70EF">
        <w:rPr>
          <w:rFonts w:ascii="Arial" w:hAnsi="Arial" w:cs="Arial"/>
          <w:sz w:val="24"/>
          <w:lang w:val="es-MX"/>
        </w:rPr>
        <w:t>intervienen varios Estados y surge la interrogante sobre ¿Qué derecho es aplicable?. Para determinar aquello, la Ley Modelo de UNCITRAL e</w:t>
      </w:r>
      <w:r w:rsidRPr="005B70EF">
        <w:rPr>
          <w:rFonts w:ascii="Arial" w:hAnsi="Arial" w:cs="Arial"/>
          <w:sz w:val="24"/>
          <w:lang w:val="es-MX"/>
        </w:rPr>
        <w:t xml:space="preserve">n su artículo 1 inciso 3, </w:t>
      </w:r>
      <w:r w:rsidR="00912716" w:rsidRPr="005B70EF">
        <w:rPr>
          <w:rFonts w:ascii="Arial" w:hAnsi="Arial" w:cs="Arial"/>
          <w:sz w:val="24"/>
          <w:lang w:val="es-MX"/>
        </w:rPr>
        <w:t>precisa</w:t>
      </w:r>
      <w:r w:rsidRPr="005B70EF">
        <w:rPr>
          <w:rFonts w:ascii="Arial" w:hAnsi="Arial" w:cs="Arial"/>
          <w:sz w:val="24"/>
          <w:lang w:val="es-MX"/>
        </w:rPr>
        <w:t xml:space="preserve"> lo siguiente:</w:t>
      </w:r>
    </w:p>
    <w:p w:rsidR="00486A3D" w:rsidRPr="005B70EF" w:rsidRDefault="00486A3D" w:rsidP="00B03860">
      <w:pPr>
        <w:pStyle w:val="Prrafodelista"/>
        <w:jc w:val="both"/>
        <w:rPr>
          <w:rFonts w:ascii="Arial" w:hAnsi="Arial" w:cs="Arial"/>
          <w:b/>
          <w:sz w:val="24"/>
          <w:lang w:val="es-MX"/>
        </w:rPr>
      </w:pPr>
    </w:p>
    <w:p w:rsidR="00486A3D" w:rsidRPr="005B70EF" w:rsidRDefault="00486A3D" w:rsidP="00486A3D">
      <w:pPr>
        <w:ind w:left="1560" w:right="282" w:hanging="426"/>
        <w:jc w:val="both"/>
        <w:rPr>
          <w:rFonts w:ascii="Arial" w:hAnsi="Arial" w:cs="Arial"/>
          <w:b/>
          <w:sz w:val="24"/>
          <w:lang w:val="es-MX"/>
        </w:rPr>
      </w:pPr>
      <w:proofErr w:type="gramStart"/>
      <w:r w:rsidRPr="005B70EF">
        <w:rPr>
          <w:rFonts w:ascii="Arial" w:hAnsi="Arial" w:cs="Arial"/>
          <w:b/>
          <w:sz w:val="24"/>
          <w:lang w:val="es-MX"/>
        </w:rPr>
        <w:t>“ a</w:t>
      </w:r>
      <w:proofErr w:type="gramEnd"/>
      <w:r w:rsidRPr="005B70EF">
        <w:rPr>
          <w:rFonts w:ascii="Arial" w:hAnsi="Arial" w:cs="Arial"/>
          <w:b/>
          <w:sz w:val="24"/>
          <w:lang w:val="es-MX"/>
        </w:rPr>
        <w:t>) Si las partes tienen – al momento de celebrar el acuerdo arbitral – sus establecimientos en Estados diferentes;</w:t>
      </w:r>
    </w:p>
    <w:p w:rsidR="00486A3D" w:rsidRPr="005B70EF" w:rsidRDefault="00486A3D" w:rsidP="00486A3D">
      <w:pPr>
        <w:pStyle w:val="Prrafodelista"/>
        <w:numPr>
          <w:ilvl w:val="0"/>
          <w:numId w:val="4"/>
        </w:numPr>
        <w:ind w:left="1560" w:right="282" w:hanging="426"/>
        <w:jc w:val="both"/>
        <w:rPr>
          <w:rFonts w:ascii="Arial" w:hAnsi="Arial" w:cs="Arial"/>
          <w:b/>
          <w:sz w:val="24"/>
          <w:lang w:val="es-MX"/>
        </w:rPr>
      </w:pPr>
      <w:r w:rsidRPr="005B70EF">
        <w:rPr>
          <w:rFonts w:ascii="Arial" w:hAnsi="Arial" w:cs="Arial"/>
          <w:b/>
          <w:sz w:val="24"/>
          <w:lang w:val="es-MX"/>
        </w:rPr>
        <w:t>Si uno de los lugares siguientes está situado fuera del Estado en el que las partes tienen sus establecimientos:</w:t>
      </w:r>
    </w:p>
    <w:p w:rsidR="00486A3D" w:rsidRPr="005B70EF" w:rsidRDefault="00486A3D" w:rsidP="00486A3D">
      <w:pPr>
        <w:pStyle w:val="Prrafodelista"/>
        <w:numPr>
          <w:ilvl w:val="0"/>
          <w:numId w:val="3"/>
        </w:numPr>
        <w:ind w:left="2268" w:right="282" w:hanging="426"/>
        <w:jc w:val="both"/>
        <w:rPr>
          <w:rFonts w:ascii="Arial" w:hAnsi="Arial" w:cs="Arial"/>
          <w:b/>
          <w:sz w:val="24"/>
          <w:lang w:val="es-MX"/>
        </w:rPr>
      </w:pPr>
      <w:r w:rsidRPr="005B70EF">
        <w:rPr>
          <w:rFonts w:ascii="Arial" w:hAnsi="Arial" w:cs="Arial"/>
          <w:b/>
          <w:sz w:val="24"/>
          <w:lang w:val="es-MX"/>
        </w:rPr>
        <w:lastRenderedPageBreak/>
        <w:t>El lugar de arbitraje, si éste ha sido determinado en el acuerdo de arbitraje o con arreglo a él;</w:t>
      </w:r>
    </w:p>
    <w:p w:rsidR="00486A3D" w:rsidRPr="005B70EF" w:rsidRDefault="00486A3D" w:rsidP="00486A3D">
      <w:pPr>
        <w:pStyle w:val="Prrafodelista"/>
        <w:numPr>
          <w:ilvl w:val="0"/>
          <w:numId w:val="3"/>
        </w:numPr>
        <w:ind w:left="2268" w:right="282" w:hanging="426"/>
        <w:jc w:val="both"/>
        <w:rPr>
          <w:rFonts w:ascii="Arial" w:hAnsi="Arial" w:cs="Arial"/>
          <w:b/>
          <w:sz w:val="24"/>
          <w:lang w:val="es-MX"/>
        </w:rPr>
      </w:pPr>
      <w:r w:rsidRPr="005B70EF">
        <w:rPr>
          <w:rFonts w:ascii="Arial" w:hAnsi="Arial" w:cs="Arial"/>
          <w:b/>
          <w:sz w:val="24"/>
          <w:lang w:val="es-MX"/>
        </w:rPr>
        <w:t xml:space="preserve">El lugar de cumplimiento de una parte sustancial de las obligaciones de la relación comercial o el lugar con el cual el objeto del litigio tenga una relación más estrecha; o, </w:t>
      </w:r>
    </w:p>
    <w:p w:rsidR="00486A3D" w:rsidRPr="005B70EF" w:rsidRDefault="00486A3D" w:rsidP="00486A3D">
      <w:pPr>
        <w:pStyle w:val="Prrafodelista"/>
        <w:numPr>
          <w:ilvl w:val="0"/>
          <w:numId w:val="4"/>
        </w:numPr>
        <w:ind w:left="1560" w:right="282" w:hanging="426"/>
        <w:jc w:val="both"/>
        <w:rPr>
          <w:rFonts w:ascii="Arial" w:hAnsi="Arial" w:cs="Arial"/>
          <w:b/>
          <w:sz w:val="24"/>
          <w:lang w:val="es-MX"/>
        </w:rPr>
      </w:pPr>
      <w:r w:rsidRPr="005B70EF">
        <w:rPr>
          <w:rFonts w:ascii="Arial" w:hAnsi="Arial" w:cs="Arial"/>
          <w:b/>
          <w:sz w:val="24"/>
          <w:lang w:val="es-MX"/>
        </w:rPr>
        <w:t>Si las partes han convenido expresamente que la cuestión objeto del acuerdo de arbitraje esté relacionada con más de un Estado […]”</w:t>
      </w:r>
    </w:p>
    <w:p w:rsidR="00912716" w:rsidRPr="005B70EF" w:rsidRDefault="00912716" w:rsidP="00912716">
      <w:pPr>
        <w:pStyle w:val="Prrafodelista"/>
        <w:ind w:left="1560" w:right="282"/>
        <w:jc w:val="both"/>
        <w:rPr>
          <w:rFonts w:ascii="Arial" w:hAnsi="Arial" w:cs="Arial"/>
          <w:sz w:val="24"/>
          <w:lang w:val="es-MX"/>
        </w:rPr>
      </w:pPr>
    </w:p>
    <w:p w:rsidR="00536B4A" w:rsidRPr="005B70EF" w:rsidRDefault="00821FF4" w:rsidP="00536B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b/>
          <w:sz w:val="24"/>
          <w:lang w:val="es-MX"/>
        </w:rPr>
        <w:t>Arbitraje V</w:t>
      </w:r>
      <w:r w:rsidR="00912716" w:rsidRPr="005B70EF">
        <w:rPr>
          <w:rFonts w:ascii="Arial" w:hAnsi="Arial" w:cs="Arial"/>
          <w:b/>
          <w:sz w:val="24"/>
          <w:lang w:val="es-MX"/>
        </w:rPr>
        <w:t>oluntario o Arbitraje Forzoso:</w:t>
      </w:r>
      <w:r w:rsidR="00912716" w:rsidRPr="005B70EF">
        <w:rPr>
          <w:rFonts w:ascii="Arial" w:hAnsi="Arial" w:cs="Arial"/>
          <w:sz w:val="24"/>
          <w:lang w:val="es-MX"/>
        </w:rPr>
        <w:t xml:space="preserve"> </w:t>
      </w:r>
      <w:r w:rsidR="008A0A42" w:rsidRPr="005B70EF">
        <w:rPr>
          <w:rFonts w:ascii="Arial" w:hAnsi="Arial" w:cs="Arial"/>
          <w:sz w:val="24"/>
          <w:lang w:val="es-MX"/>
        </w:rPr>
        <w:t>Esta clasificación depende si existe libre voluntad o</w:t>
      </w:r>
      <w:r w:rsidR="00466A80" w:rsidRPr="005B70EF">
        <w:rPr>
          <w:rFonts w:ascii="Arial" w:hAnsi="Arial" w:cs="Arial"/>
          <w:sz w:val="24"/>
          <w:lang w:val="es-MX"/>
        </w:rPr>
        <w:t xml:space="preserve"> si es impuesta por ley.</w:t>
      </w:r>
    </w:p>
    <w:p w:rsidR="008A0A42" w:rsidRPr="005B70EF" w:rsidRDefault="008A0A42" w:rsidP="008A0A42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8A0A42" w:rsidRPr="005B70EF" w:rsidRDefault="00466A80" w:rsidP="00D51EF8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>En el Arbitraje V</w:t>
      </w:r>
      <w:r w:rsidR="008A0A42" w:rsidRPr="005B70EF">
        <w:rPr>
          <w:rFonts w:ascii="Arial" w:hAnsi="Arial" w:cs="Arial"/>
          <w:sz w:val="24"/>
          <w:lang w:val="es-MX"/>
        </w:rPr>
        <w:t>oluntario prima la autonomía</w:t>
      </w:r>
      <w:r w:rsidR="00D51EF8" w:rsidRPr="005B70EF">
        <w:rPr>
          <w:rFonts w:ascii="Arial" w:hAnsi="Arial" w:cs="Arial"/>
          <w:sz w:val="24"/>
          <w:lang w:val="es-MX"/>
        </w:rPr>
        <w:t xml:space="preserve"> de la voluntad de las partes, esto es</w:t>
      </w:r>
      <w:r w:rsidR="00647629" w:rsidRPr="005B70EF">
        <w:rPr>
          <w:rFonts w:ascii="Arial" w:hAnsi="Arial" w:cs="Arial"/>
          <w:sz w:val="24"/>
          <w:lang w:val="es-MX"/>
        </w:rPr>
        <w:t>,</w:t>
      </w:r>
      <w:r w:rsidR="00D51EF8" w:rsidRPr="005B70EF">
        <w:rPr>
          <w:rFonts w:ascii="Arial" w:hAnsi="Arial" w:cs="Arial"/>
          <w:sz w:val="24"/>
          <w:lang w:val="es-MX"/>
        </w:rPr>
        <w:t xml:space="preserve"> la libre voluntad de las partes para someterse a un arbitraje. </w:t>
      </w:r>
    </w:p>
    <w:p w:rsidR="00647629" w:rsidRPr="005B70EF" w:rsidRDefault="00647629" w:rsidP="00D51EF8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D51EF8" w:rsidRPr="005B70EF" w:rsidRDefault="00D51EF8" w:rsidP="00D51EF8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>Si bien es cierto, la naturaleza del arbitraje es uno voluntario; sin embargo, existen ciertos supuestos en los cuales la ley dispondrá la obligatoriedad</w:t>
      </w:r>
      <w:r w:rsidR="007B5ECF" w:rsidRPr="005B70EF">
        <w:rPr>
          <w:rFonts w:ascii="Arial" w:hAnsi="Arial" w:cs="Arial"/>
          <w:sz w:val="24"/>
          <w:lang w:val="es-MX"/>
        </w:rPr>
        <w:t>. Esta tiene su razón de ser en que el proceso judicial puede ser extenso por puros tecnicismos,</w:t>
      </w:r>
      <w:r w:rsidRPr="005B70EF">
        <w:rPr>
          <w:rFonts w:ascii="Arial" w:hAnsi="Arial" w:cs="Arial"/>
          <w:sz w:val="24"/>
          <w:lang w:val="es-MX"/>
        </w:rPr>
        <w:t xml:space="preserve"> </w:t>
      </w:r>
      <w:r w:rsidR="007B5ECF" w:rsidRPr="005B70EF">
        <w:rPr>
          <w:rFonts w:ascii="Arial" w:hAnsi="Arial" w:cs="Arial"/>
          <w:sz w:val="24"/>
          <w:lang w:val="es-MX"/>
        </w:rPr>
        <w:t xml:space="preserve">como </w:t>
      </w:r>
      <w:r w:rsidRPr="005B70EF">
        <w:rPr>
          <w:rFonts w:ascii="Arial" w:hAnsi="Arial" w:cs="Arial"/>
          <w:sz w:val="24"/>
          <w:lang w:val="es-MX"/>
        </w:rPr>
        <w:t xml:space="preserve">por ejemplo: </w:t>
      </w:r>
      <w:r w:rsidR="00F242AE" w:rsidRPr="005B70EF">
        <w:rPr>
          <w:rFonts w:ascii="Arial" w:hAnsi="Arial" w:cs="Arial"/>
          <w:sz w:val="24"/>
          <w:lang w:val="es-MX"/>
        </w:rPr>
        <w:t xml:space="preserve">en el ordenamiento jurídico chileno mediante el artículo 227 del Código Orgánico de Tribunales señala los asuntos que devienen en un arbitraje forzoso. </w:t>
      </w:r>
    </w:p>
    <w:p w:rsidR="00F242AE" w:rsidRPr="005B70EF" w:rsidRDefault="00F242AE" w:rsidP="00D51EF8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F242AE" w:rsidRPr="005B70EF" w:rsidRDefault="00F242AE" w:rsidP="00F242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b/>
          <w:sz w:val="24"/>
          <w:lang w:val="es-MX"/>
        </w:rPr>
        <w:t>Arbitraje de Derecho o Arbitraje de Equidad:</w:t>
      </w:r>
      <w:r w:rsidRPr="005B70EF">
        <w:rPr>
          <w:rFonts w:ascii="Arial" w:hAnsi="Arial" w:cs="Arial"/>
          <w:sz w:val="24"/>
          <w:lang w:val="es-MX"/>
        </w:rPr>
        <w:t xml:space="preserve"> </w:t>
      </w:r>
      <w:r w:rsidR="000E423A" w:rsidRPr="005B70EF">
        <w:rPr>
          <w:rFonts w:ascii="Arial" w:hAnsi="Arial" w:cs="Arial"/>
          <w:sz w:val="24"/>
          <w:lang w:val="es-MX"/>
        </w:rPr>
        <w:t xml:space="preserve">Esta clasificación depende del modo de actuación de los árbitros y en ese sentido, la decisión. </w:t>
      </w:r>
    </w:p>
    <w:p w:rsidR="000E423A" w:rsidRPr="005B70EF" w:rsidRDefault="000E423A" w:rsidP="000E423A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0E423A" w:rsidRPr="005B70EF" w:rsidRDefault="000E423A" w:rsidP="000E423A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 xml:space="preserve">El Arbitraje de Derecho </w:t>
      </w:r>
      <w:r w:rsidR="00BA192E" w:rsidRPr="005B70EF">
        <w:rPr>
          <w:rFonts w:ascii="Arial" w:hAnsi="Arial" w:cs="Arial"/>
          <w:sz w:val="24"/>
          <w:lang w:val="es-MX"/>
        </w:rPr>
        <w:t>se refiere a que el árbitro único o tribunal arbitral fundamentará su decisión en base al Derecho positivo, es decir, en base a leyes y reglamentos como por ejemplo normas del Código Civil.</w:t>
      </w:r>
    </w:p>
    <w:p w:rsidR="00BA192E" w:rsidRPr="005B70EF" w:rsidRDefault="00BA192E" w:rsidP="000E423A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0E423A" w:rsidRDefault="00842156" w:rsidP="000E423A">
      <w:pPr>
        <w:pStyle w:val="Prrafodelista"/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>E</w:t>
      </w:r>
      <w:r w:rsidR="00BA192E" w:rsidRPr="005B70EF">
        <w:rPr>
          <w:rFonts w:ascii="Arial" w:hAnsi="Arial" w:cs="Arial"/>
          <w:sz w:val="24"/>
          <w:lang w:val="es-MX"/>
        </w:rPr>
        <w:t>n cambio, en el Arbitraje de Equidad, el árbitro único o tribunal arbitral realizará un análisis de lo que es justo y equitativo</w:t>
      </w:r>
      <w:r w:rsidR="00131CB8" w:rsidRPr="005B70EF">
        <w:rPr>
          <w:rFonts w:ascii="Arial" w:hAnsi="Arial" w:cs="Arial"/>
          <w:sz w:val="24"/>
          <w:lang w:val="es-MX"/>
        </w:rPr>
        <w:t xml:space="preserve"> a su parecer, buena fe y sabiduría, sin aplicar</w:t>
      </w:r>
      <w:r w:rsidR="00FB55BB" w:rsidRPr="005B70EF">
        <w:rPr>
          <w:rFonts w:ascii="Arial" w:hAnsi="Arial" w:cs="Arial"/>
          <w:sz w:val="24"/>
          <w:lang w:val="es-MX"/>
        </w:rPr>
        <w:t xml:space="preserve"> normas de Derecho. Siendo así que deberá fallar con sujeción a su sano juicio. </w:t>
      </w:r>
    </w:p>
    <w:p w:rsidR="005B70EF" w:rsidRDefault="005B70EF" w:rsidP="000E423A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5B70EF" w:rsidRPr="005B70EF" w:rsidRDefault="005B70EF" w:rsidP="005B70EF">
      <w:pPr>
        <w:jc w:val="both"/>
        <w:rPr>
          <w:rFonts w:ascii="Arial" w:hAnsi="Arial" w:cs="Arial"/>
          <w:sz w:val="24"/>
          <w:lang w:val="es-MX"/>
        </w:rPr>
      </w:pPr>
      <w:r w:rsidRPr="005B70EF">
        <w:rPr>
          <w:rFonts w:ascii="Arial" w:hAnsi="Arial" w:cs="Arial"/>
          <w:sz w:val="24"/>
          <w:lang w:val="es-MX"/>
        </w:rPr>
        <w:t>BIBLIOGRAFIA:</w:t>
      </w:r>
    </w:p>
    <w:p w:rsidR="005B70EF" w:rsidRDefault="005B70EF" w:rsidP="000E423A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5B70EF" w:rsidRDefault="005B70EF" w:rsidP="005B70EF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Caivano</w:t>
      </w:r>
      <w:proofErr w:type="spellEnd"/>
      <w:r>
        <w:rPr>
          <w:rFonts w:ascii="Arial" w:hAnsi="Arial" w:cs="Arial"/>
          <w:sz w:val="24"/>
        </w:rPr>
        <w:t xml:space="preserve">, R. (2008). Arbitraje. 2008. Editorial: Ad-Hoc S.R.L. Buenos Aires, República de Argentina. </w:t>
      </w:r>
    </w:p>
    <w:p w:rsidR="005B70EF" w:rsidRDefault="005B70EF" w:rsidP="005B70EF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Hernandez</w:t>
      </w:r>
      <w:proofErr w:type="spellEnd"/>
      <w:r>
        <w:rPr>
          <w:rFonts w:ascii="Arial" w:hAnsi="Arial" w:cs="Arial"/>
          <w:sz w:val="24"/>
        </w:rPr>
        <w:t xml:space="preserve">, V. (2006). Análisis del arbitraje como mecanismo de solución de controversias en el marco jurídico de México. Recuperado de </w:t>
      </w:r>
      <w:r w:rsidRPr="005B70EF">
        <w:rPr>
          <w:rFonts w:ascii="Arial" w:hAnsi="Arial" w:cs="Arial"/>
          <w:sz w:val="24"/>
        </w:rPr>
        <w:t>http://catarina.udlap.mx/u_dl_a/tales/documentos/ledi/hernandez_f_vw/</w:t>
      </w:r>
      <w:bookmarkStart w:id="0" w:name="_GoBack"/>
      <w:bookmarkEnd w:id="0"/>
    </w:p>
    <w:p w:rsidR="005B70EF" w:rsidRPr="005B70EF" w:rsidRDefault="005B70EF" w:rsidP="000E423A">
      <w:pPr>
        <w:pStyle w:val="Prrafodelista"/>
        <w:jc w:val="both"/>
        <w:rPr>
          <w:rFonts w:ascii="Arial" w:hAnsi="Arial" w:cs="Arial"/>
          <w:sz w:val="24"/>
          <w:lang w:val="es-MX"/>
        </w:rPr>
      </w:pPr>
    </w:p>
    <w:p w:rsidR="0078322D" w:rsidRDefault="0078322D" w:rsidP="0078322D">
      <w:pPr>
        <w:pStyle w:val="Prrafodelista"/>
        <w:jc w:val="both"/>
        <w:rPr>
          <w:sz w:val="24"/>
          <w:lang w:val="es-MX"/>
        </w:rPr>
      </w:pPr>
    </w:p>
    <w:p w:rsidR="00231743" w:rsidRDefault="00231743" w:rsidP="0078322D">
      <w:pPr>
        <w:pStyle w:val="Prrafodelista"/>
        <w:jc w:val="both"/>
        <w:rPr>
          <w:sz w:val="24"/>
          <w:lang w:val="es-MX"/>
        </w:rPr>
      </w:pPr>
    </w:p>
    <w:p w:rsidR="00FF3E69" w:rsidRPr="00681A1E" w:rsidRDefault="00FF3E69" w:rsidP="00681A1E">
      <w:pPr>
        <w:pStyle w:val="Prrafodelista"/>
        <w:jc w:val="both"/>
        <w:rPr>
          <w:sz w:val="24"/>
          <w:lang w:val="es-MX"/>
        </w:rPr>
      </w:pPr>
    </w:p>
    <w:sectPr w:rsidR="00FF3E69" w:rsidRPr="00681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EEB"/>
    <w:multiLevelType w:val="hybridMultilevel"/>
    <w:tmpl w:val="BDB0B4F2"/>
    <w:lvl w:ilvl="0" w:tplc="29D63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9246E"/>
    <w:multiLevelType w:val="hybridMultilevel"/>
    <w:tmpl w:val="8BFA6F10"/>
    <w:lvl w:ilvl="0" w:tplc="B4FE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EB2864"/>
    <w:multiLevelType w:val="hybridMultilevel"/>
    <w:tmpl w:val="0AD83A34"/>
    <w:lvl w:ilvl="0" w:tplc="2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063E"/>
    <w:multiLevelType w:val="hybridMultilevel"/>
    <w:tmpl w:val="011039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DA"/>
    <w:rsid w:val="000E423A"/>
    <w:rsid w:val="00131CB8"/>
    <w:rsid w:val="00231743"/>
    <w:rsid w:val="003326DA"/>
    <w:rsid w:val="00445FA9"/>
    <w:rsid w:val="00466A80"/>
    <w:rsid w:val="00486A3D"/>
    <w:rsid w:val="00536B4A"/>
    <w:rsid w:val="005B70EF"/>
    <w:rsid w:val="00647629"/>
    <w:rsid w:val="00681A1E"/>
    <w:rsid w:val="00746FE4"/>
    <w:rsid w:val="0078322D"/>
    <w:rsid w:val="007B5ECF"/>
    <w:rsid w:val="00821FF4"/>
    <w:rsid w:val="00842156"/>
    <w:rsid w:val="008A0A42"/>
    <w:rsid w:val="008D103C"/>
    <w:rsid w:val="008E79B6"/>
    <w:rsid w:val="00912716"/>
    <w:rsid w:val="00B03860"/>
    <w:rsid w:val="00BA192E"/>
    <w:rsid w:val="00CE01C6"/>
    <w:rsid w:val="00D10F56"/>
    <w:rsid w:val="00D51EF8"/>
    <w:rsid w:val="00DA77A9"/>
    <w:rsid w:val="00EE7676"/>
    <w:rsid w:val="00F242AE"/>
    <w:rsid w:val="00FB55BB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A3429"/>
  <w15:chartTrackingRefBased/>
  <w15:docId w15:val="{AAF122D8-1323-489E-8A6A-53937B6E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3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2022-09-30T21:03:00Z</dcterms:created>
  <dcterms:modified xsi:type="dcterms:W3CDTF">2022-10-17T15:22:00Z</dcterms:modified>
</cp:coreProperties>
</file>